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lang w:eastAsia="zh-CN"/>
        </w:rPr>
        <w:t>关于我校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</w:rPr>
        <w:t>编外人员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lang w:eastAsia="zh-CN"/>
        </w:rPr>
        <w:t>管理的有关说明</w:t>
      </w:r>
    </w:p>
    <w:p>
      <w:pPr>
        <w:widowControl/>
        <w:contextualSpacing/>
        <w:jc w:val="center"/>
        <w:rPr>
          <w:rFonts w:hint="eastAsia" w:ascii="仿宋" w:hAnsi="仿宋" w:eastAsia="仿宋" w:cs="宋体"/>
          <w:b/>
          <w:bCs/>
          <w:kern w:val="0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contextualSpacing/>
        <w:jc w:val="left"/>
        <w:textAlignment w:val="auto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我校编外人员分为</w:t>
      </w:r>
      <w:r>
        <w:rPr>
          <w:rFonts w:hint="eastAsia" w:ascii="仿宋" w:hAnsi="仿宋" w:eastAsia="仿宋" w:cs="宋体"/>
          <w:kern w:val="0"/>
          <w:sz w:val="28"/>
          <w:szCs w:val="28"/>
        </w:rPr>
        <w:t>合同制A类岗、合同制B类岗两种用工类型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宋体"/>
          <w:kern w:val="0"/>
          <w:sz w:val="28"/>
          <w:szCs w:val="28"/>
        </w:rPr>
        <w:t>具有相应专业中级以上职称或获得硕士以上学位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为</w:t>
      </w:r>
      <w:r>
        <w:rPr>
          <w:rFonts w:hint="eastAsia" w:ascii="仿宋" w:hAnsi="仿宋" w:eastAsia="仿宋" w:cs="宋体"/>
          <w:kern w:val="0"/>
          <w:sz w:val="28"/>
          <w:szCs w:val="28"/>
        </w:rPr>
        <w:t>合同制A类岗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人员，其他人员（如本科及以下、初级或无职称人员）为</w:t>
      </w:r>
      <w:r>
        <w:rPr>
          <w:rFonts w:hint="eastAsia" w:ascii="仿宋" w:hAnsi="仿宋" w:eastAsia="仿宋" w:cs="宋体"/>
          <w:kern w:val="0"/>
          <w:sz w:val="28"/>
          <w:szCs w:val="28"/>
        </w:rPr>
        <w:t>合同制B类岗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人员。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contextualSpacing/>
        <w:jc w:val="left"/>
        <w:textAlignment w:val="auto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合同制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A类岗人员与学校签订劳动合同，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合同制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B类岗人员与学校委托方</w:t>
      </w:r>
      <w:bookmarkStart w:id="0" w:name="_GoBack"/>
      <w:bookmarkEnd w:id="0"/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第三方人才市场签订劳动合同，两类人员工资奖金均由学校发放，</w:t>
      </w:r>
      <w:r>
        <w:rPr>
          <w:rFonts w:hint="eastAsia" w:ascii="仿宋" w:hAnsi="仿宋" w:eastAsia="仿宋" w:cs="宋体"/>
          <w:kern w:val="0"/>
          <w:sz w:val="28"/>
          <w:szCs w:val="28"/>
        </w:rPr>
        <w:t>党团、工会等关系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均</w:t>
      </w:r>
      <w:r>
        <w:rPr>
          <w:rFonts w:hint="eastAsia" w:ascii="仿宋" w:hAnsi="仿宋" w:eastAsia="仿宋" w:cs="宋体"/>
          <w:kern w:val="0"/>
          <w:sz w:val="28"/>
          <w:szCs w:val="28"/>
        </w:rPr>
        <w:t>由学校管理。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contextualSpacing/>
        <w:jc w:val="left"/>
        <w:textAlignment w:val="auto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两类人员因学历、职称、聘岗类别和级别、工作年限等不同，工资和薪酬待遇有所差异。</w:t>
      </w:r>
    </w:p>
    <w:p>
      <w:pPr>
        <w:spacing w:line="360" w:lineRule="auto"/>
        <w:jc w:val="center"/>
        <w:rPr>
          <w:rFonts w:ascii="黑体" w:hAnsi="黑体" w:eastAsia="黑体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114ADDF"/>
    <w:multiLevelType w:val="singleLevel"/>
    <w:tmpl w:val="F114ADD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